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Göteborg kommunfullmäktige</w:t>
      </w:r>
    </w:p>
    <w:p>
      <w:pPr>
        <w:pStyle w:val="Heading1"/>
      </w:pPr>
      <w:r>
        <w:t xml:space="preserve">Kvalitet och valfrihet i äldreomsorg och hemtjänst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Göteborg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Endast 18 procent av göteborgare över 80 år bor i särskilt boende. Brist på valfrihet och långa väntetider präglar hemtjänsten.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Göteborg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fler privata utförare godkänns inom hemtjänsten.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brukarnas valfrihet utökas med minst tre alternativ per stadsdel.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kvalitetsuppföljning sker kvartalsvis med Kolada-mått.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personalens kompetensutveckling förstärks.</w:t>
      </w:r>
    </w:p>
    <w:p>
      <w:pPr>
        <w:spacing w:before="360"/>
      </w:pPr>
    </w:p>
    <w:p>
      <w:r>
        <w:t xml:space="preserve">Göteborg,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Göteborg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2026-06-06T01:48:22.592Z</dcterms:created>
  <dcterms:modified xsi:type="dcterms:W3CDTF">2026-06-06T01:48:22.592Z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